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国央企创新负责人如何通过科创数智大脑支持企业数字化转型与技术攻关？</w:t>
      </w:r>
    </w:p>
    <w:p>
      <w:pPr>
        <w:spacing w:line="360" w:lineRule="auto"/>
        <w:ind w:firstLine="0"/>
        <w:jc w:val="center"/>
      </w:pPr>
      <w:r>
        <w:rPr>
          <w:rFonts w:ascii="仿宋" w:hAnsi="仿宋" w:eastAsia="仿宋"/>
          <w:b w:val="0"/>
          <w:color w:val="000000"/>
          <w:sz w:val="24"/>
        </w:rPr>
        <w:t xml:space="preserve">观点作者：科易网-国家科技成果转化（厦门）示范基地  </w:t>
      </w:r>
    </w:p>
    <w:p>
      <w:pPr>
        <w:spacing w:line="360" w:lineRule="auto" w:before="0" w:after="0"/>
        <w:ind w:firstLine="560"/>
      </w:pPr>
      <w:r>
        <w:rPr>
          <w:rFonts w:ascii="宋体" w:hAnsi="宋体" w:eastAsia="宋体"/>
          <w:b w:val="0"/>
          <w:color w:val="000000"/>
          <w:sz w:val="28"/>
        </w:rPr>
        <w:t xml:space="preserve">在数字经济时代，科技创新已成为推动高质量发展的核心引擎。作为国家创新体系的重要力量，国央企在产业链、创新链、资金链中发挥着“压舱石”作用，其数字化转型与技术攻关能力直接影响国家竞争力。然而，当前国央企普遍面临“底数不清、链条不全、协同不畅、转型不易”的四大痛点，亟需借助智能化手段破解困局。  </w:t>
      </w:r>
    </w:p>
    <w:p>
      <w:pPr>
        <w:spacing w:line="360" w:lineRule="auto" w:before="0" w:after="0"/>
        <w:ind w:firstLine="560"/>
      </w:pPr>
      <w:r>
        <w:rPr>
          <w:rFonts w:ascii="宋体" w:hAnsi="宋体" w:eastAsia="宋体"/>
          <w:b w:val="0"/>
          <w:color w:val="000000"/>
          <w:sz w:val="28"/>
        </w:rPr>
        <w:t xml:space="preserve">为此，河北省“产业大脑”建设方案提供了重要启示：通过构建“大数据+AI大模型+知识图谱+智能体”技术栈，打造全景可视、精准决策、高效赋能、生态共荣的产业集群数字化平台。这一方案不仅为地方政府提供了产业治理的“指挥舱”，更为国央企数字化转型提供了可复制的解决方案。  </w:t>
      </w:r>
    </w:p>
    <w:p>
      <w:pPr>
        <w:spacing w:line="360" w:lineRule="auto" w:before="0" w:after="0"/>
        <w:ind w:firstLine="560"/>
      </w:pPr>
      <w:r>
        <w:rPr>
          <w:rFonts w:ascii="宋体" w:hAnsi="宋体" w:eastAsia="宋体"/>
          <w:b w:val="0"/>
          <w:color w:val="000000"/>
          <w:sz w:val="28"/>
        </w:rPr>
        <w:t xml:space="preserve"> 一、科创数智大脑如何解决数字化转型痛点？  </w:t>
      </w:r>
    </w:p>
    <w:p>
      <w:pPr>
        <w:spacing w:line="360" w:lineRule="auto" w:before="0" w:after="0"/>
        <w:ind w:firstLine="560"/>
      </w:pPr>
      <w:r>
        <w:rPr>
          <w:rFonts w:ascii="宋体" w:hAnsi="宋体" w:eastAsia="宋体"/>
          <w:b w:val="0"/>
          <w:color w:val="000000"/>
          <w:sz w:val="28"/>
        </w:rPr>
        <w:t xml:space="preserve">痛点一：数据孤岛与信息壁垒  </w:t>
      </w:r>
    </w:p>
    <w:p>
      <w:pPr>
        <w:spacing w:line="360" w:lineRule="auto" w:before="0" w:after="0"/>
        <w:ind w:firstLine="560"/>
      </w:pPr>
      <w:r>
        <w:rPr>
          <w:rFonts w:ascii="宋体" w:hAnsi="宋体" w:eastAsia="宋体"/>
          <w:b w:val="0"/>
          <w:color w:val="000000"/>
          <w:sz w:val="28"/>
        </w:rPr>
        <w:t xml:space="preserve">国央企在技术研发、供应链管理、市场拓展等方面涉及海量数据，但往往是分散在各部门、各系统中，形成“数据孤岛”。例如，研发数据与生产数据难以联动，技术成果与企业需求无法精准匹配，政策红利难以实时触达符合条件的企业。  </w:t>
      </w:r>
    </w:p>
    <w:p>
      <w:pPr>
        <w:spacing w:line="360" w:lineRule="auto" w:before="0" w:after="0"/>
        <w:ind w:firstLine="560"/>
      </w:pPr>
      <w:r>
        <w:rPr>
          <w:rFonts w:ascii="宋体" w:hAnsi="宋体" w:eastAsia="宋体"/>
          <w:b w:val="0"/>
          <w:color w:val="000000"/>
          <w:sz w:val="28"/>
        </w:rPr>
        <w:t xml:space="preserve">解决方案：构建五链融合知识图谱  </w:t>
      </w:r>
    </w:p>
    <w:p>
      <w:pPr>
        <w:spacing w:line="360" w:lineRule="auto" w:before="0" w:after="0"/>
        <w:ind w:firstLine="560"/>
      </w:pPr>
      <w:r>
        <w:rPr>
          <w:rFonts w:ascii="宋体" w:hAnsi="宋体" w:eastAsia="宋体"/>
          <w:b w:val="0"/>
          <w:color w:val="000000"/>
          <w:sz w:val="28"/>
        </w:rPr>
        <w:t xml:space="preserve">河北省“产业大脑”通过整合产业链、供应链、创新链、资金链、政策链“五链”数据，依托AI科创底座（如超大规模语言模型）与RAG技术，构建动态演进的产业知识图谱。具体而言：  </w:t>
      </w:r>
    </w:p>
    <w:p>
      <w:pPr>
        <w:spacing w:line="360" w:lineRule="auto" w:before="0" w:after="0"/>
        <w:ind w:firstLine="560"/>
      </w:pPr>
      <w:r>
        <w:rPr>
          <w:rFonts w:ascii="宋体" w:hAnsi="宋体" w:eastAsia="宋体"/>
          <w:b w:val="0"/>
          <w:color w:val="000000"/>
          <w:sz w:val="28"/>
        </w:rPr>
        <w:t xml:space="preserve">- 数据采集：利用API接口、爬虫、IoT传感器、企业填报等手段，覆盖企业库、设备/产品库、创新人才库、科技成果库、科研机构库、产业政策库、金融机构库等多源数据。  </w:t>
      </w:r>
    </w:p>
    <w:p>
      <w:pPr>
        <w:spacing w:line="360" w:lineRule="auto" w:before="0" w:after="0"/>
        <w:ind w:firstLine="560"/>
      </w:pPr>
      <w:r>
        <w:rPr>
          <w:rFonts w:ascii="宋体" w:hAnsi="宋体" w:eastAsia="宋体"/>
          <w:b w:val="0"/>
          <w:color w:val="000000"/>
          <w:sz w:val="28"/>
        </w:rPr>
        <w:t xml:space="preserve">- 数据处理：基于大数据平台对数据进行清洗、融合、标签化，如为高新技术企业、拟上市企业、急需融资企业提供精准标签。  </w:t>
      </w:r>
    </w:p>
    <w:p>
      <w:pPr>
        <w:spacing w:line="360" w:lineRule="auto" w:before="0" w:after="0"/>
        <w:ind w:firstLine="560"/>
      </w:pPr>
      <w:r>
        <w:rPr>
          <w:rFonts w:ascii="宋体" w:hAnsi="宋体" w:eastAsia="宋体"/>
          <w:b w:val="0"/>
          <w:color w:val="000000"/>
          <w:sz w:val="28"/>
        </w:rPr>
        <w:t xml:space="preserve">- 智能匹配：通过智能体技术，自动推送符合企业需求的金融产品、政策补贴、技术方案，如“金融产品智能匹配”“政策智配引擎”。  </w:t>
      </w:r>
    </w:p>
    <w:p>
      <w:pPr>
        <w:spacing w:line="360" w:lineRule="auto" w:before="0" w:after="0"/>
        <w:ind w:firstLine="560"/>
      </w:pPr>
      <w:r>
        <w:rPr>
          <w:rFonts w:ascii="宋体" w:hAnsi="宋体" w:eastAsia="宋体"/>
          <w:b w:val="0"/>
          <w:color w:val="000000"/>
          <w:sz w:val="28"/>
        </w:rPr>
        <w:t xml:space="preserve">案例：某央企通过“产业大脑”的设备/产品库，实时监控供应链动态，动态调整采购策略，在疫情导致部分供应商产能波动时，快速找到替代供应商，保障了生产连续性。  </w:t>
      </w:r>
    </w:p>
    <w:p>
      <w:pPr>
        <w:spacing w:line="360" w:lineRule="auto" w:before="0" w:after="0"/>
        <w:ind w:firstLine="560"/>
      </w:pPr>
      <w:r>
        <w:rPr>
          <w:rFonts w:ascii="宋体" w:hAnsi="宋体" w:eastAsia="宋体"/>
          <w:b w:val="0"/>
          <w:color w:val="000000"/>
          <w:sz w:val="28"/>
        </w:rPr>
        <w:t xml:space="preserve">核心价值：数据驱动决策，从“拍脑袋”转向“用数据说话”。  </w:t>
      </w:r>
    </w:p>
    <w:p>
      <w:pPr>
        <w:spacing w:line="360" w:lineRule="auto" w:before="0" w:after="0"/>
        <w:ind w:firstLine="560"/>
      </w:pPr>
      <w:r>
        <w:rPr>
          <w:rFonts w:ascii="宋体" w:hAnsi="宋体" w:eastAsia="宋体"/>
          <w:b w:val="0"/>
          <w:color w:val="000000"/>
          <w:sz w:val="28"/>
        </w:rPr>
        <w:t xml:space="preserve">痛点二：技术攻关效率低  </w:t>
      </w:r>
    </w:p>
    <w:p>
      <w:pPr>
        <w:spacing w:line="360" w:lineRule="auto" w:before="0" w:after="0"/>
        <w:ind w:firstLine="560"/>
      </w:pPr>
      <w:r>
        <w:rPr>
          <w:rFonts w:ascii="宋体" w:hAnsi="宋体" w:eastAsia="宋体"/>
          <w:b w:val="0"/>
          <w:color w:val="000000"/>
          <w:sz w:val="28"/>
        </w:rPr>
        <w:t xml:space="preserve">国央企在研发过程中常面临技术路线选择困难、产学研协同不畅、技术成果转化周期长等问题。例如，一项新技术从实验室到产业化可能耗费数年，而市场机遇稍纵即逝。  </w:t>
      </w:r>
    </w:p>
    <w:p>
      <w:pPr>
        <w:spacing w:line="360" w:lineRule="auto" w:before="0" w:after="0"/>
        <w:ind w:firstLine="560"/>
      </w:pPr>
      <w:r>
        <w:rPr>
          <w:rFonts w:ascii="宋体" w:hAnsi="宋体" w:eastAsia="宋体"/>
          <w:b w:val="0"/>
          <w:color w:val="000000"/>
          <w:sz w:val="28"/>
        </w:rPr>
        <w:t xml:space="preserve">解决方案：依托智能体与区域合作平台  </w:t>
      </w:r>
    </w:p>
    <w:p>
      <w:pPr>
        <w:spacing w:line="360" w:lineRule="auto" w:before="0" w:after="0"/>
        <w:ind w:firstLine="560"/>
      </w:pPr>
      <w:r>
        <w:rPr>
          <w:rFonts w:ascii="宋体" w:hAnsi="宋体" w:eastAsia="宋体"/>
          <w:b w:val="0"/>
          <w:color w:val="000000"/>
          <w:sz w:val="28"/>
        </w:rPr>
        <w:t xml:space="preserve">“产业大脑”通过企业服务智能体，将数智应用工具灵活化配置，实现自然语言指令触发链式服务。例如，企业输入“如何快速找到适合我研发项目的科研团队？”，智能体可自动匹配高校/院所清单、潜在合作方向，生成定制化建议。此外，通过区域合作平台，精准挖掘跨区域的技术互补性、产业链耦合度，推动“飞地孵化”“联合攻关”。  </w:t>
      </w:r>
    </w:p>
    <w:p>
      <w:pPr>
        <w:spacing w:line="360" w:lineRule="auto" w:before="0" w:after="0"/>
        <w:ind w:firstLine="560"/>
      </w:pPr>
      <w:r>
        <w:rPr>
          <w:rFonts w:ascii="宋体" w:hAnsi="宋体" w:eastAsia="宋体"/>
          <w:b w:val="0"/>
          <w:color w:val="000000"/>
          <w:sz w:val="28"/>
        </w:rPr>
        <w:t xml:space="preserve">案例：某央企通过“产业大脑”的产学研合作模块，联合某高校共建技术转移中心，将实验室成果转化周期缩短30%，年新增产值超亿元。  </w:t>
      </w:r>
    </w:p>
    <w:p>
      <w:pPr>
        <w:spacing w:line="360" w:lineRule="auto" w:before="0" w:after="0"/>
        <w:ind w:firstLine="560"/>
      </w:pPr>
      <w:r>
        <w:rPr>
          <w:rFonts w:ascii="宋体" w:hAnsi="宋体" w:eastAsia="宋体"/>
          <w:b w:val="0"/>
          <w:color w:val="000000"/>
          <w:sz w:val="28"/>
        </w:rPr>
        <w:t xml:space="preserve">核心价值：智能化重构服务流程，从“被动等待”转向“主动赋能”。  </w:t>
      </w:r>
    </w:p>
    <w:p>
      <w:pPr>
        <w:spacing w:line="360" w:lineRule="auto" w:before="0" w:after="0"/>
        <w:ind w:firstLine="560"/>
      </w:pPr>
      <w:r>
        <w:rPr>
          <w:rFonts w:ascii="宋体" w:hAnsi="宋体" w:eastAsia="宋体"/>
          <w:b w:val="0"/>
          <w:color w:val="000000"/>
          <w:sz w:val="28"/>
        </w:rPr>
        <w:t xml:space="preserve">痛点三：数字化转型投入高、见效慢  </w:t>
      </w:r>
    </w:p>
    <w:p>
      <w:pPr>
        <w:spacing w:line="360" w:lineRule="auto" w:before="0" w:after="0"/>
        <w:ind w:firstLine="560"/>
      </w:pPr>
      <w:r>
        <w:rPr>
          <w:rFonts w:ascii="宋体" w:hAnsi="宋体" w:eastAsia="宋体"/>
          <w:b w:val="0"/>
          <w:color w:val="000000"/>
          <w:sz w:val="28"/>
        </w:rPr>
        <w:t xml:space="preserve">国央企数字化转型需要投入大量资金进行系统建设，但传统方案往往缺乏可量化的ROI评估，导致决策层犹豫不决。  </w:t>
      </w:r>
    </w:p>
    <w:p>
      <w:pPr>
        <w:spacing w:line="360" w:lineRule="auto" w:before="0" w:after="0"/>
        <w:ind w:firstLine="560"/>
      </w:pPr>
      <w:r>
        <w:rPr>
          <w:rFonts w:ascii="宋体" w:hAnsi="宋体" w:eastAsia="宋体"/>
          <w:b w:val="0"/>
          <w:color w:val="000000"/>
          <w:sz w:val="28"/>
        </w:rPr>
        <w:t xml:space="preserve">解决方案：分层设计，分阶段实施  </w:t>
      </w:r>
    </w:p>
    <w:p>
      <w:pPr>
        <w:spacing w:line="360" w:lineRule="auto" w:before="0" w:after="0"/>
        <w:ind w:firstLine="560"/>
      </w:pPr>
      <w:r>
        <w:rPr>
          <w:rFonts w:ascii="宋体" w:hAnsi="宋体" w:eastAsia="宋体"/>
          <w:b w:val="0"/>
          <w:color w:val="000000"/>
          <w:sz w:val="28"/>
        </w:rPr>
        <w:t xml:space="preserve">“产业大脑”采用“底座坚实、中台赋能、顶层智治”三层架构：  </w:t>
      </w:r>
    </w:p>
    <w:p>
      <w:pPr>
        <w:spacing w:line="360" w:lineRule="auto" w:before="0" w:after="0"/>
        <w:ind w:firstLine="560"/>
      </w:pPr>
      <w:r>
        <w:rPr>
          <w:rFonts w:ascii="宋体" w:hAnsi="宋体" w:eastAsia="宋体"/>
          <w:b w:val="0"/>
          <w:color w:val="000000"/>
          <w:sz w:val="28"/>
        </w:rPr>
        <w:t xml:space="preserve">- 底座层：七大主题数据库、运营管理中心、AI科创底座，夯实数据智能根基；  </w:t>
      </w:r>
    </w:p>
    <w:p>
      <w:pPr>
        <w:spacing w:line="360" w:lineRule="auto" w:before="0" w:after="0"/>
        <w:ind w:firstLine="560"/>
      </w:pPr>
      <w:r>
        <w:rPr>
          <w:rFonts w:ascii="宋体" w:hAnsi="宋体" w:eastAsia="宋体"/>
          <w:b w:val="0"/>
          <w:color w:val="000000"/>
          <w:sz w:val="28"/>
        </w:rPr>
        <w:t xml:space="preserve">- 中台层：数智转型专区（智能制造成熟度评估）、数字金融专区（金融产品智能匹配）、企业培育专区（专精特新水平评估）、集群服务（共享工厂、产品原料服务商等）、五链融合知识图谱；  </w:t>
      </w:r>
    </w:p>
    <w:p>
      <w:pPr>
        <w:spacing w:line="360" w:lineRule="auto" w:before="0" w:after="0"/>
        <w:ind w:firstLine="560"/>
      </w:pPr>
      <w:r>
        <w:rPr>
          <w:rFonts w:ascii="宋体" w:hAnsi="宋体" w:eastAsia="宋体"/>
          <w:b w:val="0"/>
          <w:color w:val="000000"/>
          <w:sz w:val="28"/>
        </w:rPr>
        <w:t xml:space="preserve">- 顶层层：产业监测、产业分析（动态生成深度分析报告）、产业招商（“以图引项、以单落地”闭环体系）。  </w:t>
      </w:r>
    </w:p>
    <w:p>
      <w:pPr>
        <w:spacing w:line="360" w:lineRule="auto" w:before="0" w:after="0"/>
        <w:ind w:firstLine="560"/>
      </w:pPr>
      <w:r>
        <w:rPr>
          <w:rFonts w:ascii="宋体" w:hAnsi="宋体" w:eastAsia="宋体"/>
          <w:b w:val="0"/>
          <w:color w:val="000000"/>
          <w:sz w:val="28"/>
        </w:rPr>
        <w:t xml:space="preserve">企业可根据自身需求选择基础服务或增值服务，如政策查询、供需发布、深度调研报告、高级金融撮合等，按需付费，降低转型门槛。  </w:t>
      </w:r>
    </w:p>
    <w:p>
      <w:pPr>
        <w:spacing w:line="360" w:lineRule="auto" w:before="0" w:after="0"/>
        <w:ind w:firstLine="560"/>
      </w:pPr>
      <w:r>
        <w:rPr>
          <w:rFonts w:ascii="宋体" w:hAnsi="宋体" w:eastAsia="宋体"/>
          <w:b w:val="0"/>
          <w:color w:val="000000"/>
          <w:sz w:val="28"/>
        </w:rPr>
        <w:t xml:space="preserve">核心价值：轻量化入场，从“全盘重构”转向“精准补齐”。  </w:t>
      </w:r>
    </w:p>
    <w:p>
      <w:pPr>
        <w:spacing w:line="360" w:lineRule="auto" w:before="0" w:after="0"/>
        <w:ind w:firstLine="560"/>
      </w:pPr>
      <w:r>
        <w:rPr>
          <w:rFonts w:ascii="宋体" w:hAnsi="宋体" w:eastAsia="宋体"/>
          <w:b w:val="0"/>
          <w:color w:val="000000"/>
          <w:sz w:val="28"/>
        </w:rPr>
        <w:t xml:space="preserve"> 二、科创数智大脑如何赋能技术攻关？  </w:t>
      </w:r>
    </w:p>
    <w:p>
      <w:pPr>
        <w:spacing w:line="360" w:lineRule="auto" w:before="0" w:after="0"/>
        <w:ind w:firstLine="560"/>
      </w:pPr>
      <w:r>
        <w:rPr>
          <w:rFonts w:ascii="宋体" w:hAnsi="宋体" w:eastAsia="宋体"/>
          <w:b w:val="0"/>
          <w:color w:val="000000"/>
          <w:sz w:val="28"/>
        </w:rPr>
        <w:t xml:space="preserve">场景一：技术热点识别与研发路线规划  </w:t>
      </w:r>
    </w:p>
    <w:p>
      <w:pPr>
        <w:spacing w:line="360" w:lineRule="auto" w:before="0" w:after="0"/>
        <w:ind w:firstLine="560"/>
      </w:pPr>
      <w:r>
        <w:rPr>
          <w:rFonts w:ascii="宋体" w:hAnsi="宋体" w:eastAsia="宋体"/>
          <w:b w:val="0"/>
          <w:color w:val="000000"/>
          <w:sz w:val="28"/>
        </w:rPr>
        <w:t xml:space="preserve">国央企可通过“产业大脑”的“技术研发分析系统”，实时监测行业技术热点、专利布局，避免重复研发。例如，某军工企业利用该系统发现新材料领域存在技术空白，迅速成立专项团队攻关，半年后形成自有专利技术，填补了国内行业短板。  </w:t>
      </w:r>
    </w:p>
    <w:p>
      <w:pPr>
        <w:spacing w:line="360" w:lineRule="auto" w:before="0" w:after="0"/>
        <w:ind w:firstLine="560"/>
      </w:pPr>
      <w:r>
        <w:rPr>
          <w:rFonts w:ascii="宋体" w:hAnsi="宋体" w:eastAsia="宋体"/>
          <w:b w:val="0"/>
          <w:color w:val="000000"/>
          <w:sz w:val="28"/>
        </w:rPr>
        <w:t xml:space="preserve">场景二：产学研精准对接  </w:t>
      </w:r>
    </w:p>
    <w:p>
      <w:pPr>
        <w:spacing w:line="360" w:lineRule="auto" w:before="0" w:after="0"/>
        <w:ind w:firstLine="560"/>
      </w:pPr>
      <w:r>
        <w:rPr>
          <w:rFonts w:ascii="宋体" w:hAnsi="宋体" w:eastAsia="宋体"/>
          <w:b w:val="0"/>
          <w:color w:val="000000"/>
          <w:sz w:val="28"/>
        </w:rPr>
        <w:t xml:space="preserve">通过“区域合作平台”的“高校—地方”“产学研”智能匹配模块，高校的技术成果可快速对接企业需求。例如，某高校的智能传感器技术通过平台发布后，被某家电企业选中，合作开发出新产品，3个月内实现量产，并申报了省级重点研发计划。  </w:t>
      </w:r>
    </w:p>
    <w:p>
      <w:pPr>
        <w:spacing w:line="360" w:lineRule="auto" w:before="0" w:after="0"/>
        <w:ind w:firstLine="560"/>
      </w:pPr>
      <w:r>
        <w:rPr>
          <w:rFonts w:ascii="宋体" w:hAnsi="宋体" w:eastAsia="宋体"/>
          <w:b w:val="0"/>
          <w:color w:val="000000"/>
          <w:sz w:val="28"/>
        </w:rPr>
        <w:t xml:space="preserve">场景三：政策智能匹配与申报  </w:t>
      </w:r>
    </w:p>
    <w:p>
      <w:pPr>
        <w:spacing w:line="360" w:lineRule="auto" w:before="0" w:after="0"/>
        <w:ind w:firstLine="560"/>
      </w:pPr>
      <w:r>
        <w:rPr>
          <w:rFonts w:ascii="宋体" w:hAnsi="宋体" w:eastAsia="宋体"/>
          <w:b w:val="0"/>
          <w:color w:val="000000"/>
          <w:sz w:val="28"/>
        </w:rPr>
        <w:t xml:space="preserve">“产业大脑”的“政策智配引擎”可自动推送符合企业标签的政策补贴，如“专精特新贷”“知识产权质押贷”。某新材料企业通过平台申报了省级某项补贴，资金到账后迅速扩大研发投入，半年内攻克了技术瓶颈，申请了3项发明专利。  </w:t>
      </w:r>
    </w:p>
    <w:p>
      <w:pPr>
        <w:spacing w:line="360" w:lineRule="auto" w:before="0" w:after="0"/>
        <w:ind w:firstLine="560"/>
      </w:pPr>
      <w:r>
        <w:rPr>
          <w:rFonts w:ascii="宋体" w:hAnsi="宋体" w:eastAsia="宋体"/>
          <w:b w:val="0"/>
          <w:color w:val="000000"/>
          <w:sz w:val="28"/>
        </w:rPr>
        <w:t xml:space="preserve">核心价值：技术攻关从“经验驱动”转向“数据驱动”，从“自嗨式创新”转向“市场导向式创新”。  </w:t>
      </w:r>
    </w:p>
    <w:p>
      <w:pPr>
        <w:spacing w:line="360" w:lineRule="auto" w:before="0" w:after="0"/>
        <w:ind w:firstLine="560"/>
      </w:pPr>
      <w:r>
        <w:rPr>
          <w:rFonts w:ascii="宋体" w:hAnsi="宋体" w:eastAsia="宋体"/>
          <w:b w:val="0"/>
          <w:color w:val="000000"/>
          <w:sz w:val="28"/>
        </w:rPr>
        <w:t xml:space="preserve"> 三、国央企如何最大化利用科创数智大脑？  </w:t>
      </w:r>
    </w:p>
    <w:p>
      <w:pPr>
        <w:spacing w:line="360" w:lineRule="auto" w:before="0" w:after="0"/>
        <w:ind w:firstLine="560"/>
      </w:pPr>
      <w:r>
        <w:rPr>
          <w:rFonts w:ascii="宋体" w:hAnsi="宋体" w:eastAsia="宋体"/>
          <w:b w:val="0"/>
          <w:color w:val="000000"/>
          <w:sz w:val="28"/>
        </w:rPr>
        <w:t xml:space="preserve">1. 强化顶层设计，数据先行  </w:t>
      </w:r>
    </w:p>
    <w:p>
      <w:pPr>
        <w:spacing w:line="360" w:lineRule="auto" w:before="0" w:after="0"/>
        <w:ind w:firstLine="560"/>
      </w:pPr>
      <w:r>
        <w:rPr>
          <w:rFonts w:ascii="宋体" w:hAnsi="宋体" w:eastAsia="宋体"/>
          <w:b w:val="0"/>
          <w:color w:val="000000"/>
          <w:sz w:val="28"/>
        </w:rPr>
        <w:t xml:space="preserve">- 建立数据治理流程：明确数据采集渠道、清洗标准、融合规则，确保数据质量；  </w:t>
      </w:r>
    </w:p>
    <w:p>
      <w:pPr>
        <w:spacing w:line="360" w:lineRule="auto" w:before="0" w:after="0"/>
        <w:ind w:firstLine="560"/>
      </w:pPr>
      <w:r>
        <w:rPr>
          <w:rFonts w:ascii="宋体" w:hAnsi="宋体" w:eastAsia="宋体"/>
          <w:b w:val="0"/>
          <w:color w:val="000000"/>
          <w:sz w:val="28"/>
        </w:rPr>
        <w:t xml:space="preserve">- 制定数据共享机制：鼓励内部部门、子公司之间共享非敏感数据，打破数据壁垒。  </w:t>
      </w:r>
    </w:p>
    <w:p>
      <w:pPr>
        <w:spacing w:line="360" w:lineRule="auto" w:before="0" w:after="0"/>
        <w:ind w:firstLine="560"/>
      </w:pPr>
      <w:r>
        <w:rPr>
          <w:rFonts w:ascii="宋体" w:hAnsi="宋体" w:eastAsia="宋体"/>
          <w:b w:val="0"/>
          <w:color w:val="000000"/>
          <w:sz w:val="28"/>
        </w:rPr>
        <w:t xml:space="preserve">2. 聚焦核心场景，分步实施  </w:t>
      </w:r>
    </w:p>
    <w:p>
      <w:pPr>
        <w:spacing w:line="360" w:lineRule="auto" w:before="0" w:after="0"/>
        <w:ind w:firstLine="560"/>
      </w:pPr>
      <w:r>
        <w:rPr>
          <w:rFonts w:ascii="宋体" w:hAnsi="宋体" w:eastAsia="宋体"/>
          <w:b w:val="0"/>
          <w:color w:val="000000"/>
          <w:sz w:val="28"/>
        </w:rPr>
        <w:t xml:space="preserve">- 优先上线“政策查询”“供需发布”“智能诊断”等基础功能；  </w:t>
      </w:r>
    </w:p>
    <w:p>
      <w:pPr>
        <w:spacing w:line="360" w:lineRule="auto" w:before="0" w:after="0"/>
        <w:ind w:firstLine="560"/>
      </w:pPr>
      <w:r>
        <w:rPr>
          <w:rFonts w:ascii="宋体" w:hAnsi="宋体" w:eastAsia="宋体"/>
          <w:b w:val="0"/>
          <w:color w:val="000000"/>
          <w:sz w:val="28"/>
        </w:rPr>
        <w:t xml:space="preserve">- 逐步拓展“数字金融”“区域合作”“产业分析”等增值服务。  </w:t>
      </w:r>
    </w:p>
    <w:p>
      <w:pPr>
        <w:spacing w:line="360" w:lineRule="auto" w:before="0" w:after="0"/>
        <w:ind w:firstLine="560"/>
      </w:pPr>
      <w:r>
        <w:rPr>
          <w:rFonts w:ascii="宋体" w:hAnsi="宋体" w:eastAsia="宋体"/>
          <w:b w:val="0"/>
          <w:color w:val="000000"/>
          <w:sz w:val="28"/>
        </w:rPr>
        <w:t xml:space="preserve">3. 深化生态合作，共建平台  </w:t>
      </w:r>
    </w:p>
    <w:p>
      <w:pPr>
        <w:spacing w:line="360" w:lineRule="auto" w:before="0" w:after="0"/>
        <w:ind w:firstLine="560"/>
      </w:pPr>
      <w:r>
        <w:rPr>
          <w:rFonts w:ascii="宋体" w:hAnsi="宋体" w:eastAsia="宋体"/>
          <w:b w:val="0"/>
          <w:color w:val="000000"/>
          <w:sz w:val="28"/>
        </w:rPr>
        <w:t xml:space="preserve">- 引入行业协会、服务平台、金融机构作为生态伙伴；  </w:t>
      </w:r>
    </w:p>
    <w:p>
      <w:pPr>
        <w:spacing w:line="360" w:lineRule="auto" w:before="0" w:after="0"/>
        <w:ind w:firstLine="560"/>
      </w:pPr>
      <w:r>
        <w:rPr>
          <w:rFonts w:ascii="宋体" w:hAnsi="宋体" w:eastAsia="宋体"/>
          <w:b w:val="0"/>
          <w:color w:val="000000"/>
          <w:sz w:val="28"/>
        </w:rPr>
        <w:t xml:space="preserve">- 依托科易网（国家级产业技术基础公共服务平台）的资源优势，加速技术转移和成果转化。  </w:t>
      </w:r>
    </w:p>
    <w:p>
      <w:pPr>
        <w:spacing w:line="360" w:lineRule="auto" w:before="0" w:after="0"/>
        <w:ind w:firstLine="560"/>
      </w:pPr>
      <w:r>
        <w:rPr>
          <w:rFonts w:ascii="宋体" w:hAnsi="宋体" w:eastAsia="宋体"/>
          <w:b w:val="0"/>
          <w:color w:val="000000"/>
          <w:sz w:val="28"/>
        </w:rPr>
        <w:t xml:space="preserve">案例：作为国家技术转移示范机构，科易网在深圳、苏州等地建设了多个区域科创数智大脑，推动当地国央企数字化转型。某央企通过平台对接了本地某高校的量子计算技术，合作开发出智能安防系统，年营收增长20%。  </w:t>
      </w:r>
    </w:p>
    <w:p>
      <w:pPr>
        <w:spacing w:line="360" w:lineRule="auto" w:before="0" w:after="0"/>
        <w:ind w:firstLine="560"/>
      </w:pPr>
      <w:r>
        <w:rPr>
          <w:rFonts w:ascii="宋体" w:hAnsi="宋体" w:eastAsia="宋体"/>
          <w:b w:val="0"/>
          <w:color w:val="000000"/>
          <w:sz w:val="28"/>
        </w:rPr>
        <w:t xml:space="preserve"> 四、结语：数字赋能，创新未来  </w:t>
      </w:r>
    </w:p>
    <w:p>
      <w:pPr>
        <w:spacing w:line="360" w:lineRule="auto" w:before="0" w:after="0"/>
        <w:ind w:firstLine="560"/>
      </w:pPr>
      <w:r>
        <w:rPr>
          <w:rFonts w:ascii="宋体" w:hAnsi="宋体" w:eastAsia="宋体"/>
          <w:b w:val="0"/>
          <w:color w:val="000000"/>
          <w:sz w:val="28"/>
        </w:rPr>
        <w:t xml:space="preserve">在数字经济时代，国央企数字化转型已不是“选择题”，而是“必答题”。科创数智大脑作为数字化转型的“超级引擎”，通过数据整合、智能匹配、生态共荣，能够显著提升国央企的创新能力与竞争力。河北省“产业大脑”的成功实践证明，只要坚持“政府引导、市场运作、多方参与”的原则，强化数据治理、聚焦核心场景、深化生态合作，就能推动国央企从传统制造向智能创新转型，为国家经济高质量发展注入新动能。  </w:t>
      </w:r>
    </w:p>
    <w:p>
      <w:pPr>
        <w:spacing w:line="360" w:lineRule="auto" w:before="0" w:after="0"/>
        <w:ind w:firstLine="560"/>
      </w:pPr>
      <w:r>
        <w:rPr>
          <w:rFonts w:ascii="宋体" w:hAnsi="宋体" w:eastAsia="宋体"/>
          <w:b w:val="0"/>
          <w:color w:val="000000"/>
          <w:sz w:val="28"/>
        </w:rPr>
        <w:t xml:space="preserve">正如科易网作为国家科技成果转化（厦门）示范基地所倡导的：“科技创新，让数据跑起来，让价值动起来。”  </w:t>
      </w:r>
    </w:p>
    <w:p>
      <w:pPr>
        <w:spacing w:line="360" w:lineRule="auto" w:before="0" w:after="0"/>
        <w:ind w:firstLine="560"/>
      </w:pPr>
      <w:r>
        <w:rPr>
          <w:rFonts w:ascii="宋体" w:hAnsi="宋体" w:eastAsia="宋体"/>
          <w:b w:val="0"/>
          <w:color w:val="000000"/>
          <w:sz w:val="28"/>
        </w:rPr>
        <w:t>（全文约2200字）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